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524500" cy="3105150"/>
                    </a:xfrm>
                    <a:prstGeom prst="rect">
                      <a:avLst/>
                    </a:prstGeom>
                  </pic:spPr>
                </pic:pic>
              </a:graphicData>
            </a:graphic>
          </wp:inline>
        </w:drawing>
      </w:r>
    </w:p>
    <w:p/>
    <w:p>
      <w:pPr>
        <w:spacing w:after="160" w:before="0"/>
        <w:jc w:val="center"/>
      </w:pPr>
      <w:r>
        <w:rPr>
          <w:b/>
          <w:bCs/>
          <w:sz w:val="48"/>
          <w:szCs w:val="48"/>
        </w:rPr>
        <w:t xml:space="preserve">智能工厂四级补贴体系：政策全景与SCADA/MES入场逻辑</w:t>
      </w:r>
    </w:p>
    <w:p/>
    <w:p>
      <w:pPr>
        <w:spacing w:after="160" w:before="320"/>
      </w:pPr>
      <w:r>
        <w:rPr>
          <w:b/>
          <w:bCs/>
          <w:sz w:val="36"/>
          <w:szCs w:val="36"/>
        </w:rPr>
        <w:t xml:space="preserve">一、政策背景与四级体系概述</w:t>
      </w:r>
    </w:p>
    <w:p>
      <w:pPr>
        <w:spacing w:after="80" w:before="60"/>
      </w:pPr>
      <w:r>
        <w:rPr>
          <w:sz w:val="28"/>
          <w:szCs w:val="28"/>
        </w:rPr>
        <w:t xml:space="preserve">2026年，工信部等六部门联合印发《智能工厂梯度培育管理办法》，首次在国家层面将智能工厂划分为四级梯度体系：</w:t>
      </w:r>
    </w:p>
    <w:p/>
    <w:p>
      <w:pPr>
        <w:spacing w:after="80" w:before="60"/>
      </w:pPr>
      <w:r>
        <w:rPr>
          <w:sz w:val="28"/>
          <w:szCs w:val="28"/>
        </w:rPr>
        <w:t xml:space="preserve">基础级：数据采集基本覆盖，关键设备联网，基础可视化看板（设备联网率≥60%）</w:t>
      </w:r>
    </w:p>
    <w:p>
      <w:pPr>
        <w:spacing w:after="80" w:before="60"/>
      </w:pPr>
      <w:r>
        <w:rPr>
          <w:sz w:val="28"/>
          <w:szCs w:val="28"/>
        </w:rPr>
        <w:t xml:space="preserve">先进级：数据驱动决策，OEE可量化，MES与ERP打通（设备联网率≥80%）</w:t>
      </w:r>
    </w:p>
    <w:p>
      <w:pPr>
        <w:spacing w:after="80" w:before="60"/>
      </w:pPr>
      <w:r>
        <w:rPr>
          <w:sz w:val="28"/>
          <w:szCs w:val="28"/>
        </w:rPr>
        <w:t xml:space="preserve">卓越级：AI辅助决策，数字孪生，预测性维护成熟（全链路数据贯通）</w:t>
      </w:r>
    </w:p>
    <w:p>
      <w:pPr>
        <w:spacing w:after="80" w:before="60"/>
      </w:pPr>
      <w:r>
        <w:rPr>
          <w:sz w:val="28"/>
          <w:szCs w:val="28"/>
        </w:rPr>
        <w:t xml:space="preserve">领航级：全链路数字化自主运行，行业标杆，可输出标准（行业标杆，对外赋能）</w:t>
      </w:r>
    </w:p>
    <w:p/>
    <w:p>
      <w:pPr>
        <w:spacing w:after="80" w:before="60"/>
      </w:pPr>
      <w:r>
        <w:rPr>
          <w:sz w:val="28"/>
          <w:szCs w:val="28"/>
        </w:rPr>
        <w:t xml:space="preserve">这是我国首次以量化考核指标体系定义智能工厂等级，标志着国家层面对制造业数字化转型的评价标准从定性描述转向数据驱动。</w:t>
      </w:r>
    </w:p>
    <w:p/>
    <w:p>
      <w:pPr>
        <w:spacing w:after="160" w:before="320"/>
      </w:pPr>
      <w:r>
        <w:rPr>
          <w:b/>
          <w:bCs/>
          <w:sz w:val="36"/>
          <w:szCs w:val="36"/>
        </w:rPr>
        <w:t xml:space="preserve">二、四级补贴额度与政策价值</w:t>
      </w:r>
    </w:p>
    <w:p>
      <w:pPr>
        <w:spacing w:after="80" w:before="60"/>
      </w:pPr>
      <w:r>
        <w:rPr>
          <w:sz w:val="28"/>
          <w:szCs w:val="28"/>
        </w:rPr>
        <w:t xml:space="preserve">基础级：200–500 万 | 先进级：1000 万（叠加算力券+模型券双重降本）| 卓越级：1500 万 | 领航级：2000 万</w:t>
      </w:r>
    </w:p>
    <w:p/>
    <w:p>
      <w:pPr>
        <w:spacing w:after="80" w:before="60"/>
      </w:pPr>
      <w:r>
        <w:rPr>
          <w:sz w:val="28"/>
          <w:szCs w:val="28"/>
        </w:rPr>
        <w:t xml:space="preserve">对于年营收2–5亿元的中型制造企业，先进级1000万补贴相当于工厂1–2年数字化预算由国家承担约50%。</w:t>
      </w:r>
    </w:p>
    <w:p/>
    <w:p>
      <w:pPr>
        <w:spacing w:after="160" w:before="320"/>
      </w:pPr>
      <w:r>
        <w:rPr>
          <w:b/>
          <w:bCs/>
          <w:sz w:val="36"/>
          <w:szCs w:val="36"/>
        </w:rPr>
        <w:t xml:space="preserve">三、先进级评审核心考核维度</w:t>
      </w:r>
    </w:p>
    <w:p>
      <w:pPr>
        <w:spacing w:after="80" w:before="60"/>
      </w:pPr>
      <w:r>
        <w:rPr>
          <w:sz w:val="28"/>
          <w:szCs w:val="28"/>
        </w:rPr>
        <w:t xml:space="preserve">3.1 设备联网率</w:t>
      </w:r>
    </w:p>
    <w:p>
      <w:pPr>
        <w:spacing w:after="80" w:before="60"/>
      </w:pPr>
      <w:r>
        <w:rPr>
          <w:sz w:val="28"/>
          <w:szCs w:val="28"/>
        </w:rPr>
        <w:t xml:space="preserve">指PLC、传感器、仪表等现场设备中接入数据采集系统的比例。技术门槛需达到80%以上，且需支持主流工业协议（Modbus、OPC UA、Profinet等）。</w:t>
      </w:r>
    </w:p>
    <w:p>
      <w:pPr>
        <w:spacing w:after="80" w:before="60"/>
      </w:pPr>
      <w:r>
        <w:rPr>
          <w:sz w:val="28"/>
          <w:szCs w:val="28"/>
        </w:rPr>
        <w:t xml:space="preserve">SCADA的核心职责：协议解析 → 数据标准化 → 实时数据库 → 上位系统对接。</w:t>
      </w:r>
    </w:p>
    <w:p/>
    <w:p>
      <w:pPr>
        <w:spacing w:after="80" w:before="60"/>
      </w:pPr>
      <w:r>
        <w:rPr>
          <w:sz w:val="28"/>
          <w:szCs w:val="28"/>
        </w:rPr>
        <w:t xml:space="preserve">3.2 OEE可量化</w:t>
      </w:r>
    </w:p>
    <w:p>
      <w:pPr>
        <w:spacing w:after="80" w:before="60"/>
      </w:pPr>
      <w:r>
        <w:rPr>
          <w:sz w:val="28"/>
          <w:szCs w:val="28"/>
        </w:rPr>
        <w:t xml:space="preserve">OEE（Overall Equipment Effectiveness，设备综合效率）= 可用率 × 性能率 × 良率。</w:t>
      </w:r>
    </w:p>
    <w:p>
      <w:pPr>
        <w:spacing w:after="80" w:before="60"/>
      </w:pPr>
      <w:r>
        <w:rPr>
          <w:sz w:val="28"/>
          <w:szCs w:val="28"/>
        </w:rPr>
        <w:t xml:space="preserve">计算前提：三率数据均需从设备层实时采集，而非人工录入。</w:t>
      </w:r>
    </w:p>
    <w:p/>
    <w:p>
      <w:pPr>
        <w:spacing w:after="80" w:before="60"/>
      </w:pPr>
      <w:r>
        <w:rPr>
          <w:sz w:val="28"/>
          <w:szCs w:val="28"/>
        </w:rPr>
        <w:t xml:space="preserve">3.3 生产数据采集覆盖率</w:t>
      </w:r>
    </w:p>
    <w:p>
      <w:pPr>
        <w:spacing w:after="80" w:before="60"/>
      </w:pPr>
      <w:r>
        <w:rPr>
          <w:sz w:val="28"/>
          <w:szCs w:val="28"/>
        </w:rPr>
        <w:t xml:space="preserve">覆盖工单进度、工艺参数、质量检验、物料流转等生产全要素数据。MES的核心职责：生产执行层数据建模与采集，并与SCADA实时数据库双向交互。</w:t>
      </w:r>
    </w:p>
    <w:p/>
    <w:p>
      <w:pPr>
        <w:spacing w:after="80" w:before="60"/>
      </w:pPr>
      <w:r>
        <w:rPr>
          <w:sz w:val="28"/>
          <w:szCs w:val="28"/>
        </w:rPr>
        <w:t xml:space="preserve">3.4 与ERP等上层系统集成</w:t>
      </w:r>
    </w:p>
    <w:p>
      <w:pPr>
        <w:spacing w:after="80" w:before="60"/>
      </w:pPr>
      <w:r>
        <w:rPr>
          <w:sz w:val="28"/>
          <w:szCs w:val="28"/>
        </w:rPr>
        <w:t xml:space="preserve">SCADA（OT层）→ MES（执行层）→ ERP（管理层），三层打通才能实现从车间数据到财务报表的全链路追溯。</w:t>
      </w:r>
    </w:p>
    <w:p/>
    <w:p>
      <w:pPr>
        <w:spacing w:after="160" w:before="320"/>
      </w:pPr>
      <w:r>
        <w:rPr>
          <w:b/>
          <w:bCs/>
          <w:sz w:val="36"/>
          <w:szCs w:val="36"/>
        </w:rPr>
        <w:t xml:space="preserve">四、SCADA+MES为什么是申报入场券</w:t>
      </w:r>
    </w:p>
    <w:p>
      <w:pPr>
        <w:spacing w:after="80" w:before="60"/>
      </w:pPr>
      <w:r>
        <w:rPr>
          <w:sz w:val="28"/>
          <w:szCs w:val="28"/>
        </w:rPr>
        <w:t xml:space="preserve">数据链路逻辑：设备层（PLC/传感器）→ 工业协议（Modbus/OPC UA等）→ SCADA数据采集平台 → 实时数据流 → MES制造执行系统 → 业务数据 → ERP / BI看板。</w:t>
      </w:r>
    </w:p>
    <w:p/>
    <w:p>
      <w:pPr>
        <w:spacing w:after="80" w:before="60"/>
      </w:pPr>
      <w:r>
        <w:rPr>
          <w:sz w:val="28"/>
          <w:szCs w:val="28"/>
        </w:rPr>
        <w:t xml:space="preserve">没有SCADA，设备联网率指标为零；没有MES，数据采集覆盖率无法量化；两者缺失，OEE实时计算无从谈起。</w:t>
      </w:r>
    </w:p>
    <w:p/>
    <w:p>
      <w:pPr>
        <w:spacing w:after="80" w:before="60"/>
      </w:pPr>
      <w:r>
        <w:rPr>
          <w:sz w:val="28"/>
          <w:szCs w:val="28"/>
        </w:rPr>
        <w:t xml:space="preserve">实施路径与周期：</w:t>
      </w:r>
    </w:p>
    <w:p>
      <w:pPr>
        <w:spacing w:after="80" w:before="60"/>
      </w:pPr>
      <w:r>
        <w:rPr>
          <w:sz w:val="28"/>
          <w:szCs w:val="28"/>
        </w:rPr>
        <w:t xml:space="preserve">轻量版SCADA（单产线，≤50点位）：2–4 周</w:t>
      </w:r>
    </w:p>
    <w:p>
      <w:pPr>
        <w:spacing w:after="80" w:before="60"/>
      </w:pPr>
      <w:r>
        <w:rPr>
          <w:sz w:val="28"/>
          <w:szCs w:val="28"/>
        </w:rPr>
        <w:t xml:space="preserve">标准SCADA（多产线，50–200点位）：4–8 周</w:t>
      </w:r>
    </w:p>
    <w:p>
      <w:pPr>
        <w:spacing w:after="80" w:before="60"/>
      </w:pPr>
      <w:r>
        <w:rPr>
          <w:sz w:val="28"/>
          <w:szCs w:val="28"/>
        </w:rPr>
        <w:t xml:space="preserve">标准MES（单一车间，核心模块）：8–12 周</w:t>
      </w:r>
    </w:p>
    <w:p>
      <w:pPr>
        <w:spacing w:after="80" w:before="60"/>
      </w:pPr>
      <w:r>
        <w:rPr>
          <w:sz w:val="28"/>
          <w:szCs w:val="28"/>
        </w:rPr>
        <w:t xml:space="preserve">SCADA+MES联动（多车间、全厂级）：12–24 周</w:t>
      </w:r>
    </w:p>
    <w:p/>
    <w:p>
      <w:pPr>
        <w:spacing w:after="80" w:before="60"/>
      </w:pPr>
      <w:r>
        <w:rPr>
          <w:sz w:val="28"/>
          <w:szCs w:val="28"/>
        </w:rPr>
        <w:t xml:space="preserve">案例一：汽车制造工厂上位机改造，范围：全厂设备协议兼容，周期：10周，成效：停线时间减少40%</w:t>
      </w:r>
    </w:p>
    <w:p/>
    <w:p>
      <w:pPr>
        <w:spacing w:after="80" w:before="60"/>
      </w:pPr>
      <w:r>
        <w:rPr>
          <w:sz w:val="28"/>
          <w:szCs w:val="28"/>
        </w:rPr>
        <w:t xml:space="preserve">案例二：消费电子工厂数据采集，范围：120+设备节点，周期：2周，成效：中控室全览工厂运行状态</w:t>
      </w:r>
    </w:p>
    <w:p/>
    <w:p>
      <w:pPr>
        <w:spacing w:after="160" w:before="320"/>
      </w:pPr>
      <w:r>
        <w:rPr>
          <w:b/>
          <w:bCs/>
          <w:sz w:val="36"/>
          <w:szCs w:val="36"/>
        </w:rPr>
        <w:t xml:space="preserve">五、申报时间窗口与实操建议</w:t>
      </w:r>
    </w:p>
    <w:p>
      <w:pPr>
        <w:spacing w:after="80" w:before="60"/>
      </w:pPr>
      <w:r>
        <w:rPr>
          <w:sz w:val="28"/>
          <w:szCs w:val="28"/>
        </w:rPr>
        <w:t xml:space="preserve">先进级和领航级评审周期为每年6–11月，但基础材料准备需2–3个月。</w:t>
      </w:r>
    </w:p>
    <w:p/>
    <w:p>
      <w:pPr>
        <w:spacing w:after="80" w:before="60"/>
      </w:pPr>
      <w:r>
        <w:rPr>
          <w:sz w:val="28"/>
          <w:szCs w:val="28"/>
        </w:rPr>
        <w:t xml:space="preserve">建议实施节奏：</w:t>
      </w:r>
    </w:p>
    <w:p>
      <w:pPr>
        <w:spacing w:after="80" w:before="60"/>
      </w:pPr>
      <w:r>
        <w:rPr>
          <w:sz w:val="28"/>
          <w:szCs w:val="28"/>
        </w:rPr>
        <w:t xml:space="preserve">当前启动（Q2）：部署轻量版SCADA，完成基础数据采集</w:t>
      </w:r>
    </w:p>
    <w:p>
      <w:pPr>
        <w:spacing w:after="80" w:before="60"/>
      </w:pPr>
      <w:r>
        <w:rPr>
          <w:sz w:val="28"/>
          <w:szCs w:val="28"/>
        </w:rPr>
        <w:t xml:space="preserve">Q3完成：SCADA+MES联动，数据跑通，OEE实时可算</w:t>
      </w:r>
    </w:p>
    <w:p>
      <w:pPr>
        <w:spacing w:after="80" w:before="60"/>
      </w:pPr>
      <w:r>
        <w:rPr>
          <w:sz w:val="28"/>
          <w:szCs w:val="28"/>
        </w:rPr>
        <w:t xml:space="preserve">Q4准备：整理申报材料，明年评审有底气</w:t>
      </w:r>
    </w:p>
    <w:p/>
    <w:p>
      <w:pPr>
        <w:spacing w:after="160" w:before="320"/>
      </w:pPr>
      <w:r>
        <w:rPr>
          <w:b/>
          <w:bCs/>
          <w:sz w:val="36"/>
          <w:szCs w:val="36"/>
        </w:rPr>
        <w:t xml:space="preserve">六、结语</w:t>
      </w:r>
    </w:p>
    <w:p>
      <w:pPr>
        <w:spacing w:after="80" w:before="60"/>
      </w:pPr>
      <w:r>
        <w:rPr>
          <w:sz w:val="28"/>
          <w:szCs w:val="28"/>
        </w:rPr>
        <w:t xml:space="preserve">智能工厂四级补贴政策是国家对"用数据说话"的一次强背书。能拿出OEE数据的工厂，拿补贴；能拿出全链路追溯数据的工厂，树标杆。</w:t>
      </w:r>
    </w:p>
    <w:p/>
    <w:p>
      <w:pPr>
        <w:spacing w:after="80" w:before="60"/>
      </w:pPr>
      <w:r>
        <w:rPr>
          <w:sz w:val="28"/>
          <w:szCs w:val="28"/>
        </w:rPr>
        <w:t xml:space="preserve">好的SCADA不是装在屏幕上的花架子，是让设备开口说话的那张嘴。</w:t>
      </w:r>
    </w:p>
    <w:p/>
    <w:p>
      <w:pPr>
        <w:spacing w:after="0" w:before="200"/>
        <w:jc w:val="center"/>
      </w:pPr>
      <w:r>
        <w:rPr>
          <w:i/>
          <w:iCs/>
          <w:color w:val="AAAAAA"/>
          <w:sz w:val="22"/>
          <w:szCs w:val="22"/>
        </w:rPr>
        <w:t xml:space="preserve">数据来源：工信部《智能工厂梯度培育管理办法》（补贴政策因省市而异，以当地主管部门最终公示为准）；案例来自上海橙轩智能已交付项目</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d7642455be190525b912b559aca0eac81cc94ec.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2026-05-09T15:37:21.002Z</dcterms:created>
  <dcterms:modified xsi:type="dcterms:W3CDTF">2026-05-09T15:37:21.002Z</dcterms:modified>
</cp:coreProperties>
</file>

<file path=docProps/custom.xml><?xml version="1.0" encoding="utf-8"?>
<Properties xmlns="http://schemas.openxmlformats.org/officeDocument/2006/custom-properties" xmlns:vt="http://schemas.openxmlformats.org/officeDocument/2006/docPropsVTypes"/>
</file>