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80" w:before="80"/>
        <w:jc w:val="center"/>
      </w:pPr>
      <w:r>
        <w:drawing>
          <wp:inline distT="0" distB="0" distL="0" distR="0">
            <wp:extent cx="5334000" cy="3000375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160" w:before="0"/>
        <w:jc w:val="center"/>
      </w:pPr>
      <w:r>
        <w:rPr>
          <w:b/>
          <w:bCs/>
          <w:sz w:val="56"/>
          <w:szCs w:val="56"/>
        </w:rPr>
        <w:t xml:space="preserve">[硬核]工厂老板被专家劝退：你的OEE为什么算不出来？</w:t>
      </w:r>
    </w:p>
    <w:p>
      <w:pPr>
        <w:spacing w:after="200" w:before="0"/>
        <w:jc w:val="center"/>
      </w:pPr>
      <w:r>
        <w:rPr>
          <w:color w:val="666666"/>
          <w:sz w:val="28"/>
          <w:szCs w:val="28"/>
        </w:rPr>
        <w:t xml:space="preserve">你的产线今年能拿到几级？2026智能工厂四级补贴 | OEE·设备联网率·数据采集覆盖率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工厂老板被专家劝退：你的OEE为什么算不出来？</w:t>
      </w:r>
    </w:p>
    <w:p>
      <w:pPr>
        <w:spacing w:after="80" w:before="80"/>
        <w:jc w:val="center"/>
      </w:pPr>
      <w:r>
        <w:drawing>
          <wp:inline distT="0" distB="0" distL="0" distR="0">
            <wp:extent cx="4572000" cy="25717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 w:before="60"/>
      </w:pPr>
      <w:r>
        <w:rPr>
          <w:sz w:val="28"/>
          <w:szCs w:val="28"/>
        </w:rPr>
        <w:t xml:space="preserve">上周去苏州一家汽车零部件工厂，厂长跟我说了一句让我印象很深的话。</w:t>
      </w:r>
    </w:p>
    <w:p>
      <w:pPr>
        <w:spacing w:after="60" w:before="60"/>
      </w:pPr>
      <w:r>
        <w:rPr>
          <w:sz w:val="28"/>
          <w:szCs w:val="28"/>
        </w:rPr>
        <w:t xml:space="preserve">他说：我们厂申报了先进级智能工厂，专家一进车间，摇头就走了。</w:t>
      </w:r>
    </w:p>
    <w:p/>
    <w:p>
      <w:pPr>
        <w:spacing w:after="80" w:before="120"/>
      </w:pPr>
      <w:r>
        <w:rPr>
          <w:b/>
          <w:bCs/>
          <w:color w:val="1A1A1A"/>
          <w:sz w:val="28"/>
          <w:szCs w:val="28"/>
        </w:rPr>
        <w:t xml:space="preserve">为什么？因为专家要看OEE，厂里拿不出来。不是不想给，是数据根本没有联网，OEE怎么算的，全靠人工填表。</w:t>
      </w:r>
    </w:p>
    <w:p>
      <w:pPr>
        <w:spacing w:after="80" w:before="120"/>
      </w:pPr>
      <w:r>
        <w:rPr>
          <w:b/>
          <w:bCs/>
          <w:color w:val="1A1A1A"/>
          <w:sz w:val="28"/>
          <w:szCs w:val="28"/>
        </w:rPr>
        <w:t xml:space="preserve">这不是个例。我接触的100多家工厂里，至少七成处于设备有、联网没有；系统有、数据没有的状态。</w:t>
      </w:r>
    </w:p>
    <w:p/>
    <w:p>
      <w:pPr>
        <w:pBdr>
          <w:bottom w:val="single" w:color="CCCCCC" w:sz="4" w:space="1"/>
        </w:pBdr>
        <w:spacing w:after="160" w:before="160"/>
      </w:pPr>
      <w:r>
        <w:rPr>
          <w:b/>
          <w:bCs/>
          <w:sz w:val="28"/>
          <w:szCs w:val="28"/>
        </w:rPr>
        <w:t xml:space="preserve">今天这期内容，我们来认真聊一件事：2026年智能工厂四级补贴政策，到底怎么拿？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政策全景：国家第一次把智能工厂写成四级台阶</w:t>
      </w:r>
    </w:p>
    <w:p>
      <w:pPr>
        <w:spacing w:after="80" w:before="80"/>
        <w:jc w:val="center"/>
      </w:pPr>
      <w:r>
        <w:drawing>
          <wp:inline distT="0" distB="0" distL="0" distR="0">
            <wp:extent cx="4572000" cy="25717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 w:before="60"/>
      </w:pPr>
      <w:r>
        <w:rPr>
          <w:sz w:val="28"/>
          <w:szCs w:val="28"/>
        </w:rPr>
        <w:t xml:space="preserve">2026年，工信部等六部门联合印发了《智能工厂梯度培育管理办法》，把智能工厂划分为四级：</w:t>
      </w:r>
    </w:p>
    <w:p>
      <w:pPr>
        <w:spacing w:after="60" w:before="60"/>
      </w:pPr>
      <w:r>
        <w:rPr>
          <w:sz w:val="28"/>
          <w:szCs w:val="28"/>
        </w:rPr>
        <w:t xml:space="preserve">基础级——数据采集基本覆盖，关键设备联网，有基础可视化看板。</w:t>
      </w:r>
    </w:p>
    <w:p>
      <w:pPr>
        <w:spacing w:after="60" w:before="60"/>
      </w:pPr>
      <w:r>
        <w:rPr>
          <w:sz w:val="28"/>
          <w:szCs w:val="28"/>
        </w:rPr>
        <w:t xml:space="preserve">先进级——数据驱动决策，OEE可量化，MES与ERP打通。</w:t>
      </w:r>
    </w:p>
    <w:p>
      <w:pPr>
        <w:spacing w:after="60" w:before="60"/>
      </w:pPr>
      <w:r>
        <w:rPr>
          <w:sz w:val="28"/>
          <w:szCs w:val="28"/>
        </w:rPr>
        <w:t xml:space="preserve">卓越级——AI辅助决策，数字孪生，预测性维护成熟。</w:t>
      </w:r>
    </w:p>
    <w:p>
      <w:pPr>
        <w:spacing w:after="60" w:before="60"/>
      </w:pPr>
      <w:r>
        <w:rPr>
          <w:sz w:val="28"/>
          <w:szCs w:val="28"/>
        </w:rPr>
        <w:t xml:space="preserve">领航级——全链路数字化自主运行，行业标杆，可对外输出标准。</w:t>
      </w:r>
    </w:p>
    <w:p/>
    <w:p>
      <w:pPr>
        <w:pBdr>
          <w:bottom w:val="single" w:color="CCCCCC" w:sz="4" w:space="1"/>
        </w:pBdr>
        <w:spacing w:after="160" w:before="160"/>
      </w:pPr>
      <w:r>
        <w:rPr>
          <w:b/>
          <w:bCs/>
          <w:sz w:val="28"/>
          <w:szCs w:val="28"/>
        </w:rPr>
        <w:t xml:space="preserve">不是靠PPT申报，是靠真实数据说话。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补贴数字：先进级1000万，领航级2000万</w:t>
      </w:r>
    </w:p>
    <w:p>
      <w:pPr>
        <w:spacing w:after="80" w:before="80"/>
        <w:jc w:val="center"/>
      </w:pPr>
      <w:r>
        <w:drawing>
          <wp:inline distT="0" distB="0" distL="0" distR="0">
            <wp:extent cx="4572000" cy="25717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 w:before="60"/>
      </w:pPr>
      <w:r>
        <w:rPr>
          <w:sz w:val="28"/>
          <w:szCs w:val="28"/>
        </w:rPr>
        <w:t xml:space="preserve">基础级：200-500 万 + 算力券、模型券</w:t>
      </w:r>
    </w:p>
    <w:p>
      <w:pPr>
        <w:spacing w:after="60" w:before="60"/>
      </w:pPr>
      <w:r>
        <w:rPr>
          <w:sz w:val="28"/>
          <w:szCs w:val="28"/>
        </w:rPr>
        <w:t xml:space="preserve">先进级：1000 万 + 算力券+模型券双重降本</w:t>
      </w:r>
    </w:p>
    <w:p>
      <w:pPr>
        <w:spacing w:after="60" w:before="60"/>
      </w:pPr>
      <w:r>
        <w:rPr>
          <w:sz w:val="28"/>
          <w:szCs w:val="28"/>
        </w:rPr>
        <w:t xml:space="preserve">卓越级：1500 万</w:t>
      </w:r>
    </w:p>
    <w:p>
      <w:pPr>
        <w:spacing w:after="60" w:before="60"/>
      </w:pPr>
      <w:r>
        <w:rPr>
          <w:sz w:val="28"/>
          <w:szCs w:val="28"/>
        </w:rPr>
        <w:t xml:space="preserve">领航级：2000 万 + 优先推荐国家示范项目</w:t>
      </w:r>
    </w:p>
    <w:p/>
    <w:p>
      <w:pPr>
        <w:spacing w:after="80" w:before="120"/>
      </w:pPr>
      <w:r>
        <w:rPr>
          <w:b/>
          <w:bCs/>
          <w:color w:val="1A1A1A"/>
          <w:sz w:val="28"/>
          <w:szCs w:val="28"/>
        </w:rPr>
        <w:t xml:space="preserve">一家年营收2到5亿元的中型工厂，如果能摸到先进级，拿到的是1000万真金白银的国家补贴。这相当于工厂1到2年的数字化预算由国家出一半。</w:t>
      </w:r>
    </w:p>
    <w:p/>
    <w:p>
      <w:pPr>
        <w:pBdr>
          <w:bottom w:val="single" w:color="CCCCCC" w:sz="4" w:space="1"/>
        </w:pBdr>
        <w:spacing w:after="160" w:before="160"/>
      </w:pPr>
      <w:r>
        <w:rPr>
          <w:b/>
          <w:bCs/>
          <w:sz w:val="28"/>
          <w:szCs w:val="28"/>
        </w:rPr>
        <w:t xml:space="preserve">补贴不是白拿的。拿到先进级的前提，是你的车间OEE、设备联网率、能耗数据采集覆盖率必须达到一定比例。而这些指标的前提，是现场数据必须先被采集上来。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申报门槛：四项硬指标，缺一不可</w:t>
      </w:r>
    </w:p>
    <w:p>
      <w:pPr>
        <w:spacing w:after="80" w:before="80"/>
        <w:jc w:val="center"/>
      </w:pPr>
      <w:r>
        <w:drawing>
          <wp:inline distT="0" distB="0" distL="0" distR="0">
            <wp:extent cx="4572000" cy="25717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 w:before="60"/>
      </w:pPr>
      <w:r>
        <w:rPr>
          <w:sz w:val="28"/>
          <w:szCs w:val="28"/>
        </w:rPr>
        <w:t xml:space="preserve">① 设备联网率：PLC、传感器、仪表有多少比例接入了数据采集系统。没有SCADA，这个数字就是零。</w:t>
      </w:r>
    </w:p>
    <w:p/>
    <w:p>
      <w:pPr>
        <w:spacing w:after="60" w:before="60"/>
      </w:pPr>
      <w:r>
        <w:rPr>
          <w:sz w:val="28"/>
          <w:szCs w:val="28"/>
        </w:rPr>
        <w:t xml:space="preserve">② OEE可量化：OEE=可用率×性能率×良率。三率相乘，需要从设备层实时采集数据才能算准，不是人工填表能填出来的。</w:t>
      </w:r>
    </w:p>
    <w:p/>
    <w:p>
      <w:pPr>
        <w:spacing w:after="60" w:before="60"/>
      </w:pPr>
      <w:r>
        <w:rPr>
          <w:sz w:val="28"/>
          <w:szCs w:val="28"/>
        </w:rPr>
        <w:t xml:space="preserve">③ 生产数据采集覆盖率：不只是设备数据，还包括工单进度、质量检验、物料流转。这是MES的核心职责。</w:t>
      </w:r>
    </w:p>
    <w:p/>
    <w:p>
      <w:pPr>
        <w:spacing w:after="60" w:before="60"/>
      </w:pPr>
      <w:r>
        <w:rPr>
          <w:sz w:val="28"/>
          <w:szCs w:val="28"/>
        </w:rPr>
        <w:t xml:space="preserve">④ 与ERP等上层系统集成度：SCADA负责底层，MES负责中层，ERP负责上层。三层打通，数据才能从车间流到财务报表。</w:t>
      </w:r>
    </w:p>
    <w:p/>
    <w:p>
      <w:pPr>
        <w:pBdr>
          <w:bottom w:val="single" w:color="CCCCCC" w:sz="4" w:space="1"/>
        </w:pBdr>
        <w:spacing w:after="160" w:before="160"/>
      </w:pPr>
      <w:r>
        <w:rPr>
          <w:b/>
          <w:bCs/>
          <w:sz w:val="28"/>
          <w:szCs w:val="28"/>
        </w:rPr>
        <w:t xml:space="preserve">第一条和第二条是SCADA的活，第三条是MES的活。没有SCADA打底，OEE算不出来；没有MES，申报材料里连数据采集覆盖率这个数字都填不出来。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真实案例：SCADA+MES是入场券</w:t>
      </w:r>
    </w:p>
    <w:p>
      <w:pPr>
        <w:spacing w:after="80" w:before="80"/>
        <w:jc w:val="center"/>
      </w:pPr>
      <w:r>
        <w:drawing>
          <wp:inline distT="0" distB="0" distL="0" distR="0">
            <wp:extent cx="4572000" cy="25717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60" w:before="60"/>
      </w:pPr>
      <w:r>
        <w:rPr>
          <w:sz w:val="28"/>
          <w:szCs w:val="28"/>
        </w:rPr>
        <w:t xml:space="preserve">帮一家汽车制造工厂做上位机改造，10周时间，打通了全厂设备的协议兼容。改造完成后：停线时间减少40%。</w:t>
      </w:r>
    </w:p>
    <w:p/>
    <w:p>
      <w:pPr>
        <w:spacing w:after="60" w:before="60"/>
      </w:pPr>
      <w:r>
        <w:rPr>
          <w:sz w:val="28"/>
          <w:szCs w:val="28"/>
        </w:rPr>
        <w:t xml:space="preserve">另一家消费电子工厂，120多台设备节点，2周内完成数据对接，中控室可以全览工厂运行状态。</w:t>
      </w:r>
    </w:p>
    <w:p/>
    <w:p>
      <w:pPr>
        <w:spacing w:after="80" w:before="120"/>
      </w:pPr>
      <w:r>
        <w:rPr>
          <w:b/>
          <w:bCs/>
          <w:color w:val="1A1A1A"/>
          <w:sz w:val="28"/>
          <w:szCs w:val="28"/>
        </w:rPr>
        <w:t xml:space="preserve">你缺的不是一个MES系统，你缺的是先把设备数据打通这件事。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现在启动，来得及吗？</w:t>
      </w:r>
    </w:p>
    <w:p>
      <w:pPr>
        <w:spacing w:after="60" w:before="60"/>
      </w:pPr>
      <w:r>
        <w:rPr>
          <w:sz w:val="28"/>
          <w:szCs w:val="28"/>
        </w:rPr>
        <w:t xml:space="preserve">先进级和领航级的评审周期是6到11月，但基础材料准备需要2到3个月。如果现在启动：</w:t>
      </w:r>
    </w:p>
    <w:p>
      <w:pPr>
        <w:spacing w:after="60" w:before="60"/>
      </w:pPr>
      <w:r>
        <w:rPr>
          <w:sz w:val="28"/>
          <w:szCs w:val="28"/>
        </w:rPr>
        <w:t xml:space="preserve">轻量版SCADA（单产线，50点位以内）：实施周期2到4周</w:t>
      </w:r>
    </w:p>
    <w:p>
      <w:pPr>
        <w:spacing w:after="60" w:before="60"/>
      </w:pPr>
      <w:r>
        <w:rPr>
          <w:sz w:val="28"/>
          <w:szCs w:val="28"/>
        </w:rPr>
        <w:t xml:space="preserve">标准MES（单一车间，核心模块）：实施周期8到12周</w:t>
      </w:r>
    </w:p>
    <w:p/>
    <w:p>
      <w:pPr>
        <w:spacing w:after="60" w:before="60"/>
      </w:pPr>
      <w:r>
        <w:rPr>
          <w:sz w:val="28"/>
          <w:szCs w:val="28"/>
        </w:rPr>
        <w:t xml:space="preserve">现在启动，到今年Q3之前可以完成基础数据采集；到Q4可以有底气提交明年申报。</w:t>
      </w:r>
    </w:p>
    <w:p/>
    <w:p>
      <w:pPr>
        <w:pBdr>
          <w:bottom w:val="single" w:color="CCCCCC" w:sz="4" w:space="1"/>
        </w:pBdr>
        <w:spacing w:after="160" w:before="160"/>
      </w:pPr>
      <w:r>
        <w:rPr>
          <w:b/>
          <w:bCs/>
          <w:sz w:val="28"/>
          <w:szCs w:val="28"/>
        </w:rPr>
        <w:t xml:space="preserve">拿了补贴不是终点，是起点。真正拿到补贴的工厂，是那些数据已经跑通、系统已经转起来的工厂。</w:t>
      </w:r>
    </w:p>
    <w:p/>
    <w:p>
      <w:pPr>
        <w:spacing w:after="120" w:before="240"/>
      </w:pPr>
      <w:r>
        <w:rPr>
          <w:b/>
          <w:bCs/>
          <w:sz w:val="36"/>
          <w:szCs w:val="36"/>
        </w:rPr>
        <w:t xml:space="preserve">结语</w:t>
      </w:r>
    </w:p>
    <w:p>
      <w:pPr>
        <w:spacing w:after="60" w:before="60"/>
      </w:pPr>
      <w:r>
        <w:rPr>
          <w:sz w:val="28"/>
          <w:szCs w:val="28"/>
        </w:rPr>
        <w:t xml:space="preserve">制造业数字化，最怕两件事：一是上了不会用，二是用了没数据。</w:t>
      </w:r>
    </w:p>
    <w:p>
      <w:pPr>
        <w:spacing w:after="60" w:before="60"/>
      </w:pPr>
      <w:r>
        <w:rPr>
          <w:sz w:val="28"/>
          <w:szCs w:val="28"/>
        </w:rPr>
        <w:t xml:space="preserve">2026年的智能工厂补贴，本质上是国家对用数据说话这件事的一次强背书。</w:t>
      </w:r>
    </w:p>
    <w:p/>
    <w:p>
      <w:pPr>
        <w:spacing w:after="80" w:before="120"/>
      </w:pPr>
      <w:r>
        <w:rPr>
          <w:b/>
          <w:bCs/>
          <w:color w:val="1A1A1A"/>
          <w:sz w:val="28"/>
          <w:szCs w:val="28"/>
        </w:rPr>
        <w:t xml:space="preserve">好的SCADA不是装在屏幕上的花架子，是让设备开口说话的那张嘴。</w:t>
      </w:r>
    </w:p>
    <w:p/>
    <w:p>
      <w:pPr>
        <w:spacing w:after="80" w:before="80"/>
      </w:pPr>
      <w:r>
        <w:rPr>
          <w:i/>
          <w:iCs/>
          <w:color w:val="555555"/>
          <w:sz w:val="28"/>
          <w:szCs w:val="28"/>
        </w:rPr>
        <w:t xml:space="preserve">如果你想了解你的产线现在处于哪个级别，以及到先进级还需要补哪些功课，可以点开评论区或者私信我，我们来帮你做一个初步的诊断。</w:t>
      </w:r>
    </w:p>
    <w:p>
      <w:pPr>
        <w:spacing w:after="80" w:before="80"/>
      </w:pPr>
      <w:r>
        <w:rPr>
          <w:i/>
          <w:iCs/>
          <w:color w:val="555555"/>
          <w:sz w:val="28"/>
          <w:szCs w:val="28"/>
        </w:rPr>
        <w:t xml:space="preserve">这期内容就到这里，我们下期见。</w:t>
      </w:r>
    </w:p>
    <w:p/>
    <w:p/>
    <w:p>
      <w:pPr>
        <w:spacing w:after="0" w:before="200"/>
        <w:jc w:val="center"/>
      </w:pPr>
      <w:r>
        <w:rPr>
          <w:color w:val="999999"/>
          <w:sz w:val="20"/>
          <w:szCs w:val="20"/>
        </w:rPr>
        <w:t xml:space="preserve">内容来源：上海橙轩智能（Orpaon）· 制造业数字化解决方案 | 官网：www.orpaon.com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e198055ed349185dd81b9a7b0c84cce0f475d64e.png"/><Relationship Id="rId8" Type="http://schemas.openxmlformats.org/officeDocument/2006/relationships/image" Target="media/092ccf1653152a59f7991d454870a2946946de39.png"/><Relationship Id="rId9" Type="http://schemas.openxmlformats.org/officeDocument/2006/relationships/image" Target="media/416845f5b52f9f0e8bd2c7e8965937c3a937a0d4.png"/><Relationship Id="rId10" Type="http://schemas.openxmlformats.org/officeDocument/2006/relationships/image" Target="media/94d41605f10ae4547f46069610e12965f0c452e9.png"/><Relationship Id="rId11" Type="http://schemas.openxmlformats.org/officeDocument/2006/relationships/image" Target="media/a2361a8db44281325323c93323e4209f214a4fc1.png"/><Relationship Id="rId12" Type="http://schemas.openxmlformats.org/officeDocument/2006/relationships/image" Target="media/672d396262b8814319b82d7bab1025315d05809e.png"/><Relationship Id="rId13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2026-05-09T10:31:40.061Z</dcterms:created>
  <dcterms:modified xsi:type="dcterms:W3CDTF">2026-05-09T10:31:40.061Z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