
<file path=[Content_Types].xml><?xml version="1.0" encoding="utf-8"?>
<Types xmlns="http://schemas.openxmlformats.org/package/2006/content-types">
  <Default ContentType="image/png" Extension="png"/>
  <Default ContentType="image/jpeg" Extension="jpeg"/>
  <Default ContentType="image/jpeg" Extension="jpg"/>
  <Default ContentType="image/bmp" Extension="bmp"/>
  <Default ContentType="image/gif" Extension="gif"/>
  <Default ContentType="image/svg+xml" Extension="svg"/>
  <Default ContentType="application/vnd.openxmlformats-package.relationships+xml" Extension="rels"/>
  <Default ContentType="application/xml" Extension="xml"/>
  <Default ContentType="application/vnd.openxmlformats-officedocument.obfuscatedFont" Extension="odttf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extended-properties+xml" PartName="/docProps/app.xml"/>
  <Override ContentType="application/vnd.openxmlformats-officedocument.wordprocessingml.numbering+xml" PartName="/word/numbering.xml"/>
  <Override ContentType="application/vnd.openxmlformats-officedocument.wordprocessingml.footnotes+xml" PartName="/word/footnotes.xml"/>
  <Override ContentType="application/vnd.openxmlformats-officedocument.wordprocessingml.endnotes+xml" PartName="/word/endnotes.xml"/>
  <Override ContentType="application/vnd.openxmlformats-officedocument.wordprocessingml.settings+xml" PartName="/word/settings.xml"/>
  <Override ContentType="application/vnd.openxmlformats-officedocument.wordprocessingml.comments+xml" PartName="/word/comments.xml"/>
  <Override ContentType="application/vnd.openxmlformats-officedocument.wordprocessingml.fontTable+xml" PartName="/word/fontTable.xml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p14">
  <w:body>
    <w:p>
      <w:pPr>
        <w:spacing w:after="100" w:before="100"/>
        <w:jc w:val="center"/>
      </w:pPr>
      <w:r>
        <w:drawing>
          <wp:inline distT="0" distB="0" distL="0" distR="0">
            <wp:extent cx="5524500" cy="3105150"/>
            <wp:effectExtent t="0" r="0" b="0" l="0"/>
            <wp:docPr id="1" name="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7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310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spacing w:after="160" w:before="0"/>
        <w:jc w:val="center"/>
      </w:pPr>
      <w:r>
        <w:rPr>
          <w:b/>
          <w:bCs/>
          <w:sz w:val="48"/>
          <w:szCs w:val="48"/>
        </w:rPr>
        <w:t xml:space="preserve">智能工厂四级补贴体系下化工企业数据采集方案</w:t>
      </w:r>
    </w:p>
    <w:p/>
    <w:p>
      <w:pPr>
        <w:spacing w:after="160" w:before="320"/>
      </w:pPr>
      <w:r>
        <w:rPr>
          <w:b/>
          <w:bCs/>
          <w:sz w:val="36"/>
          <w:szCs w:val="36"/>
        </w:rPr>
        <w:t xml:space="preserve">一、政策背景</w:t>
      </w:r>
    </w:p>
    <w:p>
      <w:pPr>
        <w:spacing w:after="80" w:before="60"/>
      </w:pPr>
      <w:r>
        <w:rPr>
          <w:sz w:val="28"/>
          <w:szCs w:val="28"/>
        </w:rPr>
        <w:t xml:space="preserve">2026年，六部门联合印发《智能工厂梯度培育管理办法》，将智能工厂划分为四级。化工行业因流程工业属性，其数据采集与离散制造有显著差异：连续工艺参数（如温度、压力、流量）的实时采集是核心，也是化工企业申报高等级补贴的技术基础。</w:t>
      </w:r>
    </w:p>
    <w:p/>
    <w:p>
      <w:pPr>
        <w:spacing w:after="160" w:before="320"/>
      </w:pPr>
      <w:r>
        <w:rPr>
          <w:b/>
          <w:bCs/>
          <w:sz w:val="36"/>
          <w:szCs w:val="36"/>
        </w:rPr>
        <w:t xml:space="preserve">二、四级补贴额度对照表</w:t>
      </w:r>
    </w:p>
    <w:p>
      <w:pPr>
        <w:spacing w:after="80" w:before="60"/>
      </w:pPr>
      <w:r>
        <w:rPr>
          <w:sz w:val="28"/>
          <w:szCs w:val="28"/>
        </w:rPr>
        <w:t xml:space="preserve">基础级：200-500 万，数据采集基本覆盖，关键仪表联网</w:t>
      </w:r>
    </w:p>
    <w:p>
      <w:pPr>
        <w:spacing w:after="80" w:before="60"/>
      </w:pPr>
      <w:r>
        <w:rPr>
          <w:sz w:val="28"/>
          <w:szCs w:val="28"/>
        </w:rPr>
        <w:t xml:space="preserve">高等级：1000 万，过程数据+质量数据+OEE可量化</w:t>
      </w:r>
    </w:p>
    <w:p>
      <w:pPr>
        <w:spacing w:after="80" w:before="60"/>
      </w:pPr>
      <w:r>
        <w:rPr>
          <w:sz w:val="28"/>
          <w:szCs w:val="28"/>
        </w:rPr>
        <w:t xml:space="preserve">更高级别：1500 万，AI辅助工艺优化、预测性维护</w:t>
      </w:r>
    </w:p>
    <w:p>
      <w:pPr>
        <w:spacing w:after="80" w:before="60"/>
      </w:pPr>
      <w:r>
        <w:rPr>
          <w:sz w:val="28"/>
          <w:szCs w:val="28"/>
        </w:rPr>
        <w:t xml:space="preserve">最高级别：2000 万，全链路数字化，可对外输出标准</w:t>
      </w:r>
    </w:p>
    <w:p/>
    <w:p>
      <w:pPr>
        <w:spacing w:after="80" w:before="60"/>
      </w:pPr>
      <w:r>
        <w:rPr>
          <w:sz w:val="28"/>
          <w:szCs w:val="28"/>
        </w:rPr>
        <w:t xml:space="preserve">注：各省市补贴政策存在差异，以当地主管部门最终公示为准。</w:t>
      </w:r>
    </w:p>
    <w:p/>
    <w:p>
      <w:pPr>
        <w:spacing w:after="100" w:before="100"/>
        <w:jc w:val="center"/>
      </w:pPr>
      <w:r>
        <w:drawing>
          <wp:inline distT="0" distB="0" distL="0" distR="0">
            <wp:extent cx="4953000" cy="2790825"/>
            <wp:effectExtent t="0" r="0" b="0" l="0"/>
            <wp:docPr id="1" name="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8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279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60" w:before="320"/>
      </w:pPr>
      <w:r>
        <w:rPr>
          <w:b/>
          <w:bCs/>
          <w:sz w:val="36"/>
          <w:szCs w:val="36"/>
        </w:rPr>
        <w:t xml:space="preserve">三、化工企业申报高等级核心考核维度</w:t>
      </w:r>
    </w:p>
    <w:p>
      <w:pPr>
        <w:spacing w:after="80" w:before="200"/>
      </w:pPr>
      <w:r>
        <w:rPr>
          <w:b/>
          <w:bCs/>
          <w:sz w:val="28"/>
          <w:szCs w:val="28"/>
        </w:rPr>
        <w:t xml:space="preserve">3.1 过程控制数据采集（DCS/PLC联网）</w:t>
      </w:r>
    </w:p>
    <w:p>
      <w:pPr>
        <w:spacing w:after="80" w:before="60"/>
      </w:pPr>
      <w:r>
        <w:rPr>
          <w:sz w:val="28"/>
          <w:szCs w:val="28"/>
        </w:rPr>
        <w:t xml:space="preserve">化工企业的核心数据源是DCS（分散控制系统）和PLC（可编程逻辑控制器），主要采集温度、压力、流量、液位等过程参数，以及配方数据和批次记录。</w:t>
      </w:r>
    </w:p>
    <w:p>
      <w:pPr>
        <w:spacing w:after="100" w:before="120"/>
      </w:pPr>
      <w:r>
        <w:rPr>
          <w:b/>
          <w:bCs/>
          <w:sz w:val="30"/>
          <w:szCs w:val="30"/>
        </w:rPr>
        <w:t xml:space="preserve">技术要求：支持主流工业协议（HART、Foundation Fieldbus、Modbus、OPC UA），数据采集系统需满足工业现场实时性要求。</w:t>
      </w:r>
    </w:p>
    <w:p/>
    <w:p>
      <w:pPr>
        <w:spacing w:after="80" w:before="200"/>
      </w:pPr>
      <w:r>
        <w:rPr>
          <w:b/>
          <w:bCs/>
          <w:sz w:val="28"/>
          <w:szCs w:val="28"/>
        </w:rPr>
        <w:t xml:space="preserve">3.2 OEE与工艺稳定性</w:t>
      </w:r>
    </w:p>
    <w:p>
      <w:pPr>
        <w:spacing w:after="80" w:before="60"/>
      </w:pPr>
      <w:r>
        <w:rPr>
          <w:sz w:val="28"/>
          <w:szCs w:val="28"/>
        </w:rPr>
        <w:t xml:space="preserve">化工连续生产中，OEE计算需结合批次良率和工艺稳定时间：可用率=计划停机时间vs.运行时间；性能率=实际产量vs.额定产能；良率=合格品产量vs.总产量。</w:t>
      </w:r>
    </w:p>
    <w:p>
      <w:pPr>
        <w:spacing w:after="100" w:before="120"/>
      </w:pPr>
      <w:r>
        <w:rPr>
          <w:b/>
          <w:bCs/>
          <w:sz w:val="30"/>
          <w:szCs w:val="30"/>
        </w:rPr>
        <w:t xml:space="preserve">SCADA的核心价值：将DCS/PLC中的过程参数实时拉取，形成工艺稳定性看板，为OEE计算提供数据底座。</w:t>
      </w:r>
    </w:p>
    <w:p/>
    <w:p>
      <w:pPr>
        <w:spacing w:after="100" w:before="100"/>
        <w:jc w:val="center"/>
      </w:pPr>
      <w:r>
        <w:drawing>
          <wp:inline distT="0" distB="0" distL="0" distR="0">
            <wp:extent cx="4953000" cy="2790825"/>
            <wp:effectExtent t="0" r="0" b="0" l="0"/>
            <wp:docPr id="1" name="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9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279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80" w:before="200"/>
      </w:pPr>
      <w:r>
        <w:rPr>
          <w:b/>
          <w:bCs/>
          <w:sz w:val="28"/>
          <w:szCs w:val="28"/>
        </w:rPr>
        <w:t xml:space="preserve">3.3 质量追溯与LIMS对接</w:t>
      </w:r>
    </w:p>
    <w:p>
      <w:pPr>
        <w:spacing w:after="80" w:before="60"/>
      </w:pPr>
      <w:r>
        <w:rPr>
          <w:sz w:val="28"/>
          <w:szCs w:val="28"/>
        </w:rPr>
        <w:t xml:space="preserve">化工产品质量追溯需覆盖：原料批次追溯、工艺参数曲线（SPC）、成品检验记录（LIMS）。</w:t>
      </w:r>
    </w:p>
    <w:p>
      <w:pPr>
        <w:spacing w:after="100" w:before="120"/>
      </w:pPr>
      <w:r>
        <w:rPr>
          <w:b/>
          <w:bCs/>
          <w:sz w:val="30"/>
          <w:szCs w:val="30"/>
        </w:rPr>
        <w:t xml:space="preserve">MES的核心价值：实现生产执行层数据建模，并与LIMS系统双向集成，形成完整的质量追溯链路。</w:t>
      </w:r>
    </w:p>
    <w:p/>
    <w:p>
      <w:pPr>
        <w:spacing w:after="160" w:before="320"/>
      </w:pPr>
      <w:r>
        <w:rPr>
          <w:b/>
          <w:bCs/>
          <w:sz w:val="36"/>
          <w:szCs w:val="36"/>
        </w:rPr>
        <w:t xml:space="preserve">四、SCADA+MES在化工场景的实施要点</w:t>
      </w:r>
    </w:p>
    <w:p>
      <w:pPr>
        <w:spacing w:after="80" w:before="200"/>
      </w:pPr>
      <w:r>
        <w:rPr>
          <w:b/>
          <w:bCs/>
          <w:sz w:val="28"/>
          <w:szCs w:val="28"/>
        </w:rPr>
        <w:t xml:space="preserve">4.1 化工仪表与SCADA的协议兼容</w:t>
      </w:r>
    </w:p>
    <w:p>
      <w:pPr>
        <w:spacing w:after="80" w:before="60"/>
      </w:pPr>
      <w:r>
        <w:rPr>
          <w:sz w:val="28"/>
          <w:szCs w:val="28"/>
        </w:rPr>
        <w:t xml:space="preserve">化工现场常用仪表品牌多、协议差异大，SCADA选型需关注：支持OPC UA + Modbus双栈；采集周期≤1秒（关键参数）；双机热备架构，高可用性；满足化工等保要求，数据加密传输。</w:t>
      </w:r>
    </w:p>
    <w:p/>
    <w:p>
      <w:pPr>
        <w:spacing w:after="80" w:before="200"/>
      </w:pPr>
      <w:r>
        <w:rPr>
          <w:b/>
          <w:bCs/>
          <w:sz w:val="28"/>
          <w:szCs w:val="28"/>
        </w:rPr>
        <w:t xml:space="preserve">4.2 化工MES的特殊模块需求</w:t>
      </w:r>
    </w:p>
    <w:p>
      <w:pPr>
        <w:spacing w:after="80" w:before="60"/>
      </w:pPr>
      <w:r>
        <w:rPr>
          <w:sz w:val="28"/>
          <w:szCs w:val="28"/>
        </w:rPr>
        <w:t xml:space="preserve">生产调度：批次计划与连续排产混合模式</w:t>
      </w:r>
    </w:p>
    <w:p>
      <w:pPr>
        <w:spacing w:after="80" w:before="60"/>
      </w:pPr>
      <w:r>
        <w:rPr>
          <w:sz w:val="28"/>
          <w:szCs w:val="28"/>
        </w:rPr>
        <w:t xml:space="preserve">配方管理：工艺规程版本管控，配方保密</w:t>
      </w:r>
    </w:p>
    <w:p>
      <w:pPr>
        <w:spacing w:after="80" w:before="60"/>
      </w:pPr>
      <w:r>
        <w:rPr>
          <w:sz w:val="28"/>
          <w:szCs w:val="28"/>
        </w:rPr>
        <w:t xml:space="preserve">质量管理：SPC实时监控，LIMS集成</w:t>
      </w:r>
    </w:p>
    <w:p>
      <w:pPr>
        <w:spacing w:after="80" w:before="60"/>
      </w:pPr>
      <w:r>
        <w:rPr>
          <w:sz w:val="28"/>
          <w:szCs w:val="28"/>
        </w:rPr>
        <w:t xml:space="preserve">设备管理：预测性维护（基于过程数据分析）</w:t>
      </w:r>
    </w:p>
    <w:p>
      <w:pPr>
        <w:spacing w:after="80" w:before="60"/>
      </w:pPr>
      <w:r>
        <w:rPr>
          <w:sz w:val="28"/>
          <w:szCs w:val="28"/>
        </w:rPr>
        <w:t xml:space="preserve">能源管理：蒸汽/电力/水耗分摊计量</w:t>
      </w:r>
    </w:p>
    <w:p/>
    <w:p>
      <w:pPr>
        <w:spacing w:after="160" w:before="320"/>
      </w:pPr>
      <w:r>
        <w:rPr>
          <w:b/>
          <w:bCs/>
          <w:sz w:val="36"/>
          <w:szCs w:val="36"/>
        </w:rPr>
        <w:t xml:space="preserve">五、典型化工场景方案示例</w:t>
      </w:r>
    </w:p>
    <w:p>
      <w:pPr>
        <w:spacing w:after="100" w:before="100"/>
        <w:jc w:val="center"/>
      </w:pPr>
      <w:r>
        <w:drawing>
          <wp:inline distT="0" distB="0" distL="0" distR="0">
            <wp:extent cx="4953000" cy="2790825"/>
            <wp:effectExtent t="0" r="0" b="0" l="0"/>
            <wp:docPr id="1" name="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10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279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80" w:before="60"/>
      </w:pPr>
      <w:r>
        <w:rPr>
          <w:sz w:val="28"/>
          <w:szCs w:val="28"/>
        </w:rPr>
        <w:t xml:space="preserve">某华东化工集团，年营收约5亿元，主营精细化工产品，年生产品种约50种，反应釜约80台套。</w:t>
      </w:r>
    </w:p>
    <w:p>
      <w:pPr>
        <w:spacing w:after="100" w:before="120"/>
      </w:pPr>
      <w:r>
        <w:rPr>
          <w:b/>
          <w:bCs/>
          <w:sz w:val="30"/>
          <w:szCs w:val="30"/>
        </w:rPr>
        <w:t xml:space="preserve">改造方案第一步：SCADA数据采集层——对接全厂DCS系统及主要PLC，采集反应釜温度/压力/搅拌速率等关键参数。</w:t>
      </w:r>
    </w:p>
    <w:p>
      <w:pPr>
        <w:spacing w:after="100" w:before="120"/>
      </w:pPr>
      <w:r>
        <w:rPr>
          <w:b/>
          <w:bCs/>
          <w:sz w:val="30"/>
          <w:szCs w:val="30"/>
        </w:rPr>
        <w:t xml:space="preserve">改造方案第二步：MES生产执行层——批次管理、配方管控、SPC质量控制。</w:t>
      </w:r>
    </w:p>
    <w:p>
      <w:pPr>
        <w:spacing w:after="100" w:before="120"/>
      </w:pPr>
      <w:r>
        <w:rPr>
          <w:b/>
          <w:bCs/>
          <w:sz w:val="30"/>
          <w:szCs w:val="30"/>
        </w:rPr>
        <w:t xml:space="preserve">改造方案第三步：OEE实时看板——设备运行状态、工艺稳定性、批次良率三率联动。</w:t>
      </w:r>
    </w:p>
    <w:p>
      <w:pPr>
        <w:spacing w:after="80" w:before="60"/>
      </w:pPr>
      <w:r>
        <w:rPr>
          <w:sz w:val="28"/>
          <w:szCs w:val="28"/>
        </w:rPr>
        <w:t xml:space="preserve">实施成效（模拟参考值，具体以实际为准）：工艺参数超标响应时间从平均15分钟缩短至实时报警；批次良率统计自动采集，消除人工填报误差；设备运行数据全厂关键设备OEE可实时查看。</w:t>
      </w:r>
    </w:p>
    <w:p/>
    <w:p>
      <w:pPr>
        <w:spacing w:after="160" w:before="320"/>
      </w:pPr>
      <w:r>
        <w:rPr>
          <w:b/>
          <w:bCs/>
          <w:sz w:val="36"/>
          <w:szCs w:val="36"/>
        </w:rPr>
        <w:t xml:space="preserve">六、实操建议</w:t>
      </w:r>
    </w:p>
    <w:p>
      <w:pPr>
        <w:spacing w:after="100" w:before="120"/>
      </w:pPr>
      <w:r>
        <w:rPr>
          <w:b/>
          <w:bCs/>
          <w:sz w:val="30"/>
          <w:szCs w:val="30"/>
        </w:rPr>
        <w:t xml:space="preserve">化工企业申报高等级，建议分两步走：</w:t>
      </w:r>
    </w:p>
    <w:p>
      <w:pPr>
        <w:spacing w:after="80" w:before="60"/>
      </w:pPr>
      <w:r>
        <w:rPr>
          <w:sz w:val="28"/>
          <w:szCs w:val="28"/>
        </w:rPr>
        <w:t xml:space="preserve">第一步（3-6个月）：SCADA部署，核心工艺参数联网，DCS/PLC数据接入实时数据库</w:t>
      </w:r>
    </w:p>
    <w:p>
      <w:pPr>
        <w:spacing w:after="80" w:before="60"/>
      </w:pPr>
      <w:r>
        <w:rPr>
          <w:sz w:val="28"/>
          <w:szCs w:val="28"/>
        </w:rPr>
        <w:t xml:space="preserve">第二步（6-12个月）：MES部署，批次管理、SPC、追溯链路打通，准备申报材料</w:t>
      </w:r>
    </w:p>
    <w:p/>
    <w:p>
      <w:pPr>
        <w:spacing w:after="0" w:before="200"/>
        <w:jc w:val="center"/>
      </w:pPr>
      <w:r>
        <w:rPr>
          <w:i/>
          <w:iCs/>
          <w:color w:val="AAAAAA"/>
          <w:sz w:val="22"/>
          <w:szCs w:val="22"/>
        </w:rPr>
        <w:t xml:space="preserve">内容来源：上海橙轩智能（Orpaon）</w:t>
      </w:r>
    </w:p>
    <w:sectPr>
      <w:pgSz w:w="11906" w:h="16838" w:orient="portrait"/>
      <w:pgMar w:top="1440" w:right="1440" w:bottom="1440" w:left="1440" w:header="708" w:footer="708" w:gutter="0"/>
      <w:pgNumType/>
      <w:docGrid w:linePitch="360"/>
    </w:sectPr>
  </w:body>
</w:document>
</file>

<file path=word/comments.xml><?xml version="1.0" encoding="utf-8"?>
<w:comments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/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>
      <w:pPr>
        <w:spacing w:after="0" w:line="240" w:lineRule="auto"/>
      </w:pPr>
      <w:r>
        <w:rPr>
          <w:rStyle w:val="EndnoteReference"/>
        </w:rPr>
        <w:endnoteRef/>
      </w:r>
      <w:r>
        <w:separator/>
      </w:r>
    </w:p>
  </w:endnote>
  <w:endnote w:type="continuationSeparator" w:id="0">
    <w:p>
      <w:pPr>
        <w:spacing w:after="0" w:line="240" w:lineRule="auto"/>
      </w:pPr>
      <w:r>
        <w:rPr>
          <w:rStyle w:val="EndnoteReference"/>
        </w:rPr>
        <w:endnoteRef/>
      </w: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>
      <w:pPr>
        <w:spacing w:after="0" w:line="240" w:lineRule="auto"/>
      </w:pPr>
      <w:r>
        <w:rPr>
          <w:rStyle w:val="FootnoteReference"/>
        </w:rPr>
        <w:footnoteRef/>
      </w:r>
      <w:r>
        <w:separator/>
      </w:r>
    </w:p>
  </w:footnote>
  <w:footnote w:type="continuationSeparator" w:id="0">
    <w:p>
      <w:pPr>
        <w:spacing w:after="0" w:line="240" w:lineRule="auto"/>
      </w:pPr>
      <w:r>
        <w:rPr>
          <w:rStyle w:val="FootnoteReference"/>
        </w:rPr>
        <w:footnoteRef/>
      </w: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1" w15:restartNumberingAfterBreak="0">
    <w:multiLevelType w:val="hybridMultilevel"/>
    <w:lvl w:ilvl="0" w15:tentative="1">
      <w:start w:val="1"/>
      <w:numFmt w:val="bullet"/>
      <w:lvlText w:val="●"/>
      <w:lvlJc w:val="left"/>
      <w:pPr>
        <w:ind w:left="720" w:hanging="360"/>
      </w:pPr>
    </w:lvl>
    <w:lvl w:ilvl="1" w15:tentative="1">
      <w:start w:val="1"/>
      <w:numFmt w:val="bullet"/>
      <w:lvlText w:val="○"/>
      <w:lvlJc w:val="left"/>
      <w:pPr>
        <w:ind w:left="1440" w:hanging="360"/>
      </w:pPr>
    </w:lvl>
    <w:lvl w:ilvl="2" w15:tentative="1">
      <w:start w:val="1"/>
      <w:numFmt w:val="bullet"/>
      <w:lvlText w:val="■"/>
      <w:lvlJc w:val="left"/>
      <w:pPr>
        <w:ind w:left="2160" w:hanging="360"/>
      </w:pPr>
    </w:lvl>
    <w:lvl w:ilvl="3" w15:tentative="1">
      <w:start w:val="1"/>
      <w:numFmt w:val="bullet"/>
      <w:lvlText w:val="●"/>
      <w:lvlJc w:val="left"/>
      <w:pPr>
        <w:ind w:left="2880" w:hanging="360"/>
      </w:pPr>
    </w:lvl>
    <w:lvl w:ilvl="4" w15:tentative="1">
      <w:start w:val="1"/>
      <w:numFmt w:val="bullet"/>
      <w:lvlText w:val="○"/>
      <w:lvlJc w:val="left"/>
      <w:pPr>
        <w:ind w:left="3600" w:hanging="360"/>
      </w:pPr>
    </w:lvl>
    <w:lvl w:ilvl="5" w15:tentative="1">
      <w:start w:val="1"/>
      <w:numFmt w:val="bullet"/>
      <w:lvlText w:val="■"/>
      <w:lvlJc w:val="left"/>
      <w:pPr>
        <w:ind w:left="4320" w:hanging="360"/>
      </w:pPr>
    </w:lvl>
    <w:lvl w:ilvl="6" w15:tentative="1">
      <w:start w:val="1"/>
      <w:numFmt w:val="bullet"/>
      <w:lvlText w:val="●"/>
      <w:lvlJc w:val="left"/>
      <w:pPr>
        <w:ind w:left="5040" w:hanging="360"/>
      </w:pPr>
    </w:lvl>
    <w:lvl w:ilvl="7" w15:tentative="1">
      <w:start w:val="1"/>
      <w:numFmt w:val="bullet"/>
      <w:lvlText w:val="●"/>
      <w:lvlJc w:val="left"/>
      <w:pPr>
        <w:ind w:left="5760" w:hanging="360"/>
      </w:pPr>
    </w:lvl>
    <w:lvl w:ilvl="8" w15:tentative="1">
      <w:start w:val="1"/>
      <w:numFmt w:val="bullet"/>
      <w:lvlText w:val="●"/>
      <w:lvlJc w:val="left"/>
      <w:pPr>
        <w:ind w:left="6480" w:hanging="360"/>
      </w:pPr>
    </w:lvl>
  </w:abstractNum>
  <w:num w:numId="1">
    <w:abstractNumId w:val="1"/>
    <w:lvlOverride w:ilvl="0">
      <w:startOverride w:val="1"/>
    </w:lvlOverride>
  </w:num>
</w:numbering>
</file>

<file path=word/settings.xml><?xml version="1.0" encoding="utf-8"?>
<w:setting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isplayBackgroundShape/>
  <w:evenAndOddHeaders w:val="false"/>
  <w:compat>
    <w:compatSetting w:val="15" w:name="compatibilityMode" w:uri="http://schemas.microsoft.com/office/word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/>
    <w:pPrDefault/>
  </w:docDefaults>
  <w:style w:type="paragraph" w:styleId="Title">
    <w:name w:val="Title"/>
    <w:basedOn w:val="Normal"/>
    <w:next w:val="Normal"/>
    <w:qFormat/>
    <w:rPr>
      <w:sz w:val="56"/>
      <w:szCs w:val="56"/>
    </w:rPr>
  </w:style>
  <w:style w:type="paragraph" w:styleId="Heading1">
    <w:name w:val="Heading 1"/>
    <w:basedOn w:val="Normal"/>
    <w:next w:val="Normal"/>
    <w:qFormat/>
    <w:rPr>
      <w:color w:val="2E74B5"/>
      <w:sz w:val="32"/>
      <w:szCs w:val="32"/>
    </w:rPr>
  </w:style>
  <w:style w:type="paragraph" w:styleId="Heading2">
    <w:name w:val="Heading 2"/>
    <w:basedOn w:val="Normal"/>
    <w:next w:val="Normal"/>
    <w:qFormat/>
    <w:rPr>
      <w:color w:val="2E74B5"/>
      <w:sz w:val="26"/>
      <w:szCs w:val="26"/>
    </w:rPr>
  </w:style>
  <w:style w:type="paragraph" w:styleId="Heading3">
    <w:name w:val="Heading 3"/>
    <w:basedOn w:val="Normal"/>
    <w:next w:val="Normal"/>
    <w:qFormat/>
    <w:rPr>
      <w:color w:val="1F4D78"/>
      <w:sz w:val="24"/>
      <w:szCs w:val="24"/>
    </w:rPr>
  </w:style>
  <w:style w:type="paragraph" w:styleId="Heading4">
    <w:name w:val="Heading 4"/>
    <w:basedOn w:val="Normal"/>
    <w:next w:val="Normal"/>
    <w:qFormat/>
    <w:rPr>
      <w:i/>
      <w:iCs/>
      <w:color w:val="2E74B5"/>
    </w:rPr>
  </w:style>
  <w:style w:type="paragraph" w:styleId="Heading5">
    <w:name w:val="Heading 5"/>
    <w:basedOn w:val="Normal"/>
    <w:next w:val="Normal"/>
    <w:qFormat/>
    <w:rPr>
      <w:color w:val="2E74B5"/>
    </w:rPr>
  </w:style>
  <w:style w:type="paragraph" w:styleId="Heading6">
    <w:name w:val="Heading 6"/>
    <w:basedOn w:val="Normal"/>
    <w:next w:val="Normal"/>
    <w:qFormat/>
    <w:rPr>
      <w:color w:val="1F4D78"/>
    </w:rPr>
  </w:style>
  <w:style w:type="paragraph" w:styleId="Strong">
    <w:name w:val="Strong"/>
    <w:basedOn w:val="Normal"/>
    <w:next w:val="Normal"/>
    <w:qFormat/>
    <w:rPr>
      <w:b/>
      <w:bCs/>
    </w:rPr>
  </w:style>
  <w:style w:type="paragraph" w:styleId="ListParagraph">
    <w:name w:val="List Paragraph"/>
    <w:basedOn w:val="Normal"/>
    <w:qFormat/>
  </w:style>
  <w:style w:type="character" w:styleId="Hyperlink">
    <w:name w:val="Hyperlink"/>
    <w:basedOn w:val="DefaultParagraphFont"/>
    <w:uiPriority w:val="99"/>
    <w:unhideWhenUsed/>
    <w:rPr>
      <w:color w:val="0563C1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styleId="FootnoteTextChar">
    <w:name w:val="Footnote Text Char"/>
    <w:basedOn w:val="DefaultParagraphFont"/>
    <w:link w:val="FootnoteText"/>
    <w:uiPriority w:val="99"/>
    <w:semiHidden/>
    <w:unhideWhenUsed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styleId="EndnoteTextChar">
    <w:name w:val="Endnote Text Char"/>
    <w:basedOn w:val="DefaultParagraphFont"/>
    <w:link w:val="EndnoteText"/>
    <w:uiPriority w:val="99"/>
    <w:semiHidden/>
    <w:unhideWhenUsed/>
    <w:rPr>
      <w:sz w:val="20"/>
      <w:szCs w:val="20"/>
    </w:rPr>
  </w:style>
</w:styles>
</file>

<file path=word/_rels/comments.xml.rels><?xml version="1.0" encoding="UTF-8"?><Relationships xmlns="http://schemas.openxmlformats.org/package/2006/relationships"/>
</file>

<file path=word/_rels/document.xml.rels><?xml version="1.0" encoding="UTF-8"?>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footnotes" Target="footnotes.xml"/><Relationship Id="rId4" Type="http://schemas.openxmlformats.org/officeDocument/2006/relationships/endnotes" Target="endnotes.xml"/><Relationship Id="rId5" Type="http://schemas.openxmlformats.org/officeDocument/2006/relationships/settings" Target="settings.xml"/><Relationship Id="rId6" Type="http://schemas.openxmlformats.org/officeDocument/2006/relationships/comments" Target="comments.xml"/><Relationship Id="rId7" Type="http://schemas.openxmlformats.org/officeDocument/2006/relationships/image" Target="media/bd7642455be190525b912b559aca0eac81cc94ec.png"/><Relationship Id="rId8" Type="http://schemas.openxmlformats.org/officeDocument/2006/relationships/image" Target="media/d2c67655f7a7242198c01a99265977b05b859411.png"/><Relationship Id="rId9" Type="http://schemas.openxmlformats.org/officeDocument/2006/relationships/image" Target="media/29b803472bc19e2b5ed31b4aff5c02d4c2e762b1.png"/><Relationship Id="rId10" Type="http://schemas.openxmlformats.org/officeDocument/2006/relationships/image" Target="media/66f2edad57adcfd3066d690553faed8f90435ff9.png"/><Relationship Id="rId11" Type="http://schemas.openxmlformats.org/officeDocument/2006/relationships/fontTable" Target="fontTable.xml"/></Relationships>
</file>

<file path=word/_rels/endnotes.xml.rels><?xml version="1.0" encoding="UTF-8"?><Relationships xmlns="http://schemas.openxmlformats.org/package/2006/relationships"/>
</file>

<file path=word/_rels/fontTable.xml.rels><?xml version="1.0" encoding="UTF-8"?><Relationships xmlns="http://schemas.openxmlformats.org/package/2006/relationships"/>
</file>

<file path=word/_rels/footnotes.xml.rels><?xml version="1.0" encoding="UTF-8"?><Relationships xmlns="http://schemas.openxmlformats.org/package/2006/relationships"/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Un-named</dc:creator>
  <cp:lastModifiedBy>Un-named</cp:lastModifiedBy>
  <cp:revision>1</cp:revision>
  <dcterms:created xsi:type="dcterms:W3CDTF">2026-05-09T15:23:23.187Z</dcterms:created>
  <dcterms:modified xsi:type="dcterms:W3CDTF">2026-05-09T15:23:23.187Z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